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 w:cs="方正小标宋_GBK" w:hint="eastAsia"/>
          <w:sz w:val="32"/>
          <w:szCs w:val="32"/>
        </w:rPr>
      </w:pPr>
      <w:r>
        <w:rPr>
          <w:rFonts w:ascii="方正小标宋_GBK" w:eastAsia="方正小标宋_GBK" w:cs="方正小标宋_GBK" w:hint="eastAsia"/>
          <w:sz w:val="32"/>
          <w:szCs w:val="32"/>
        </w:rPr>
        <w:t>进出口归入小轿车、越野车税则号列的商品技术特性要求</w:t>
      </w:r>
    </w:p>
    <w:tbl>
      <w:tblPr>
        <w:jc w:val="lef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631"/>
        <w:gridCol w:w="10618"/>
      </w:tblGrid>
      <w:tr>
        <w:trPr>
          <w:trHeight w:val="733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税则号列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0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Chars="179" w:firstLine="430"/>
              <w:jc w:val="center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商品</w:t>
            </w:r>
            <w:r>
              <w:rPr>
                <w:rFonts w:ascii="宋体" w:eastAsia="宋体" w:cs="宋体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技术特性要求</w:t>
            </w:r>
          </w:p>
        </w:tc>
      </w:tr>
      <w:tr>
        <w:trPr>
          <w:trHeight w:val="733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8703.2361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="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小轿车</w:t>
            </w:r>
          </w:p>
        </w:tc>
        <w:tc>
          <w:tcPr>
            <w:tcW w:w="10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归入税则号列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8703.2361的小轿车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，应属于具有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如下两项技术特性之一的乘用车，但越野车除外：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1.车身结构为三厢式车身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2.车身结构为两厢式车身，且同时具有以下条件：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（1）座位数不超过5座，座椅（含可折叠座椅）不超过两排且无侧向布置；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（2）一半以上的发动机长度位于车辆前风窗玻璃最前点以前，且转向盘的中心位于车辆总长的前四分之一部分之后；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（3）车长不大于4000 mm，或车长大于4000mm但不大于5200 mm且车辆处于整车整备质量状态下车顶外覆盖件最大离地高度不大于1580mm。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注1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一半以上的发动机长度，对于前横置发动机，为发动机曲轴中心线；对于前纵置发动机，为发动机第一缸和最后一缸缸心距的中心线。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注2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两厢式车身指动力总成舱、客舱和行李舱在外形上形成两个空间形态的车身，乘用车的行李舱和客舱内部贯通（包括行李舱由一块可移动的隔板分割成上下两部分后，仅上半部分与乘客舱贯通的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情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形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；三厢式车身指动力总成舱、客舱和行李舱在外形上形成各自独立形态的车身。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注3：车顶外覆盖件是指车身顶部外表面的结构件，不包括行李架、天线等附加在车顶上的附件。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归入税则号列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8703.2361的小轿车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仅装有点燃式往复式活塞内燃发动机，气缸容量（排气量）超过2500毫升，但不超过3000毫升。一般具有以下特征：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.在驾驶员和前排乘客后面的空间具有供各人乘坐的固定座位，并带有安全装置（例如，座椅安全带或安装座位安全带的定位点和配件），或具有固定的定位点和配件，以备安装座椅和安全设备；这些座椅可以是固定的、折叠的或可从定位点移走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2.沿车厢两侧带有后窗；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3.在车厢两侧或后部具有带窗的滑动式、外掀式或提升式车门；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4.与乘客区间相连的整个车厢内部具有装饰精致、配置舒适的特征（例如，配置地毯、通风设备、内部照明和烟灰缸等）。</w:t>
            </w:r>
          </w:p>
        </w:tc>
      </w:tr>
      <w:tr>
        <w:trPr>
          <w:trHeight w:val="733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8703.2362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="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越野车</w:t>
            </w:r>
          </w:p>
        </w:tc>
        <w:tc>
          <w:tcPr>
            <w:tcW w:w="10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归入税则号列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8703.2362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越野车，应</w:t>
            </w: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为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具有如下各项技术特性的乘用车：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1.至少有一个前轴和至少有一个后轴同时驱动（包括一个驱动轴可以脱开的车辆）。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2.至少有一个差速锁止机构或至少有一个类似作用的机构。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3.车辆处于整车整备质量和一位驾驶员状态下，单车计算爬坡度不小于30%，并至少具有如下六项技术特性中的五项：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（1）接近角不小于25°；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（2）离去角不小于20°；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（3）纵向通过角不小于20°；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（4）前轴离地间隙不小于180mm；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（5）后轴离地间隙不小于180mm；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（6）前后轴间的离地间隙不小于200mm。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4.车身结构为两厢式车身时，一半以上的发动机长度位于车辆前风窗玻璃最前点以前，且转向盘的中心位于车辆总长的前四分之一部分之后。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注：装有高度可调悬架的乘用车，有一种悬架状态具有1~4技术特性时也视为越野乘用车。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归入税则号列</w:t>
            </w: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8703.2362的越野车仅装有点燃式往复式活塞内燃发动机，气缸容量（排气量）超过2500毫升，但不超过3000毫升。一般具有以下特征：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1）在驾驶员和前排乘客后面的空间具有供各人乘坐的固定座位，并带有安全装置（例如，座椅安全带或安装座位安全带的定位点和配件），或具有固定的定位点和配件，以备安装座椅和安全设备；这些座椅可以是固定的、折叠的或可从定位点移走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（2）沿车厢两侧带有后窗；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（3）在车厢两侧或后部具有带窗的滑动式、外掀式或提升式车门；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Lines="25" w:before="78" w:beforeAutospacing="0" w:after="0" w:afterAutospacing="0" w:line="300" w:lineRule="auto"/>
              <w:ind w:left="0" w:right="0" w:firstLineChars="200" w:firstLine="480"/>
              <w:jc w:val="both"/>
              <w:outlineLvl w:val="9"/>
              <w:rPr>
                <w:rFonts w:ascii="宋体" w:eastAsia="宋体" w:cs="宋体" w:hint="eastAsia"/>
                <w:caps w:val="0"/>
                <w:smallCap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宋体" w:eastAsia="宋体" w:cs="宋体" w:hint="eastAsia"/>
                <w:b w:val="0"/>
                <w:bCs w:val="0"/>
                <w:caps w:val="0"/>
                <w:smallCaps w:val="0"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（4）与乘客区间相连的整个车厢内部具有装饰精致、配置舒适的特征（例如，配置地毯、通风设备、内部照明和烟灰缸等）。</w:t>
            </w:r>
          </w:p>
        </w:tc>
      </w:tr>
    </w:tbl>
    <w:p>
      <w:r>
        <w:t>注：上述商品技术特性要求在对小轿车、越野车所装发动机及其气缸容量（排气量）作相应修改后，可适用于《税则》品目87.03项下的有关子目。</w:t>
      </w: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5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18">
    <w:name w:val="Strong"/>
    <w:basedOn w:val="10"/>
    <w:rPr>
      <w:b/>
      <w:bCs/>
    </w:rPr>
  </w:style>
  <w:style w:type="paragraph" w:styleId="19">
    <w:name w:val="Normal (Web)"/>
    <w:basedOn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1 3000 0 1 1 1 1"/>
    <sectPr/>
  </customProps>
</customData>
</file>

<file path=customXml/itemProps1.xml><?xml version="1.0" encoding="utf-8"?>
<ds:datastoreItem xmlns:ds="http://schemas.openxmlformats.org/officeDocument/2006/customXml" ds:itemID="{8CD7B682-BD89-4022-9BE7-F5142613DB4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168</TotalTime>
  <Application>Yozo_Office27021597764231179</Application>
  <Pages>3</Pages>
  <Words>0</Words>
  <Characters>1182</Characters>
  <Lines>0</Lines>
  <Paragraphs>4</Paragraphs>
  <CharactersWithSpaces>1577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崔艳武</cp:lastModifiedBy>
  <cp:revision>1</cp:revision>
  <cp:lastPrinted>2023-06-28T10:03:27Z</cp:lastPrinted>
  <dcterms:created xsi:type="dcterms:W3CDTF">2023-06-08T16:39:00Z</dcterms:created>
  <dcterms:modified xsi:type="dcterms:W3CDTF">2023-06-29T04:59:06Z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2052-11.8.2.10422</vt:lpwstr>
  </property>
</Properties>
</file>